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2C" w:rsidRPr="003D782C" w:rsidRDefault="003D782C" w:rsidP="003D782C">
      <w:pPr>
        <w:shd w:val="clear" w:color="auto" w:fill="FFFFFF"/>
        <w:spacing w:after="0" w:line="720" w:lineRule="atLeast"/>
        <w:ind w:left="10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  <w:t> </w:t>
      </w:r>
      <w:r w:rsidRPr="003D782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РФ от 21 декабря 2012 г. N 1346н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 </w:t>
      </w:r>
      <w:hyperlink r:id="rId4" w:anchor="block_14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статьями 14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5" w:anchor="block_54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54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6" w:anchor="block_97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97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Утвердить: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 </w:t>
      </w:r>
      <w:hyperlink r:id="rId7" w:anchor="block_1000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приложению N 1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учетную форму N 030-ПО/у-12 "Карта профилактического медицинского осмотра несовершеннолетнего" согласно </w:t>
      </w:r>
      <w:hyperlink r:id="rId8" w:anchor="block_2000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приложению N 2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отчетную форму N 030-ПО/о-12 "Сведения о профилактических осмотрах несовершеннолетних" согласно </w:t>
      </w:r>
      <w:hyperlink r:id="rId9" w:anchor="block_3000" w:history="1">
        <w:r w:rsidRPr="003D782C">
          <w:rPr>
            <w:rFonts w:ascii="Arial" w:eastAsia="Times New Roman" w:hAnsi="Arial" w:cs="Arial"/>
            <w:b/>
            <w:bCs/>
            <w:color w:val="008000"/>
            <w:sz w:val="24"/>
            <w:szCs w:val="24"/>
            <w:lang w:eastAsia="ru-RU"/>
          </w:rPr>
          <w:t>приложению N 3</w:t>
        </w:r>
      </w:hyperlink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Times New Roman" w:eastAsia="Times New Roman" w:hAnsi="Times New Roman" w:cs="Times New Roman"/>
          <w:color w:val="4C4A4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6"/>
        <w:gridCol w:w="3129"/>
      </w:tblGrid>
      <w:tr w:rsidR="003D782C" w:rsidRPr="003D782C" w:rsidTr="003D782C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Arial" w:eastAsia="Times New Roman" w:hAnsi="Arial" w:cs="Arial"/>
                <w:color w:val="4C4A47"/>
                <w:sz w:val="24"/>
                <w:szCs w:val="24"/>
                <w:bdr w:val="none" w:sz="0" w:space="0" w:color="auto" w:frame="1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782C" w:rsidRPr="003D782C" w:rsidRDefault="003D782C" w:rsidP="003D782C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Arial" w:eastAsia="Times New Roman" w:hAnsi="Arial" w:cs="Arial"/>
                <w:color w:val="4C4A47"/>
                <w:sz w:val="24"/>
                <w:szCs w:val="24"/>
                <w:bdr w:val="none" w:sz="0" w:space="0" w:color="auto" w:frame="1"/>
                <w:lang w:eastAsia="ru-RU"/>
              </w:rPr>
              <w:t>В.И. Скворцова</w:t>
            </w:r>
          </w:p>
        </w:tc>
      </w:tr>
    </w:tbl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Зарегистрировано в Минюсте РФ 2 апреля 2013 г.</w:t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Регистрационный N 27961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Times New Roman" w:eastAsia="Times New Roman" w:hAnsi="Times New Roman" w:cs="Times New Roman"/>
          <w:color w:val="4C4A47"/>
          <w:sz w:val="24"/>
          <w:szCs w:val="24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680"/>
        <w:jc w:val="right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N 1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680"/>
        <w:jc w:val="right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приказу</w:t>
        </w:r>
      </w:hyperlink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680"/>
        <w:jc w:val="right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здравоохранения РФ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680"/>
        <w:jc w:val="right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21 декабря 2012 г. N 1346н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Порядок</w:t>
      </w:r>
      <w:r w:rsidRPr="003D782C">
        <w:rPr>
          <w:rFonts w:ascii="Arial" w:eastAsia="Times New Roman" w:hAnsi="Arial" w:cs="Arial"/>
          <w:b/>
          <w:bCs/>
          <w:color w:val="000080"/>
          <w:sz w:val="18"/>
          <w:szCs w:val="18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I. Общие положения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hyperlink r:id="rId11" w:anchor="block_111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*(1)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 </w:t>
      </w:r>
      <w:hyperlink r:id="rId12" w:anchor="block_2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статьей 20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формирования групп состояния здоровья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выработки рекомендаций для несовершеннолетних.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6.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 </w:t>
      </w:r>
      <w:hyperlink r:id="rId13" w:anchor="block_11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приложению N 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к настоящему Порядку (далее - Перечень исследований).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 </w:t>
      </w:r>
      <w:hyperlink r:id="rId14" w:anchor="block_54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частью 2 статьи 54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Федерального закона, информация о состоянии здоровья предоставляется его законному представителю.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9.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hyperlink r:id="rId15" w:anchor="block_10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Порядком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причинен в результате противоправных действий, утвержденным </w:t>
      </w:r>
      <w:hyperlink r:id="rId16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Министерства здравоохранения и социального развития Российской Федерации от 17 мая 2012 г. N 565н (зарегистрирован Министерством юстиции Российской Федерации 25 мая 2012 г., регистрационный N 25004).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II. Порядок проведения профилактических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10.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hyperlink r:id="rId17" w:anchor="block_22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*(2)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"детской урологии-андрологии" или "урологии"</w:t>
      </w:r>
      <w:hyperlink r:id="rId18" w:anchor="block_22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*(2)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"детской эндокринологии" или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"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эндокринологии"</w:t>
      </w:r>
      <w:hyperlink r:id="rId19" w:anchor="block_22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*(2)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"оториноларингологии"</w:t>
      </w:r>
      <w:hyperlink r:id="rId20" w:anchor="block_333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*(3)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или "оториноларингологии (за исключением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кохлеарной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имплантации)", "акушерству и гинекологии"</w:t>
      </w:r>
      <w:hyperlink r:id="rId21" w:anchor="block_333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*(3)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11.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</w:t>
      </w:r>
      <w:hyperlink r:id="rId22" w:anchor="block_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</w:t>
        </w:r>
        <w:proofErr w:type="spellEnd"/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 xml:space="preserve"> 10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в медицинской организации, указанной в </w:t>
      </w:r>
      <w:hyperlink r:id="rId23" w:anchor="block_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 10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отсутствует: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уролог-андролог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то к проведению профилактического осмотра привлекается врач-уролог или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хирург,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2) врач-стоматолог детский, то к проведению профилактического осмотра привлекается врач-стоматолог,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эндокринолог, то к проведению профилактического осмотра привлекается врач-эндокринолог,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12.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сведения: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фамилия, имя, отчество, возраст (дата, месяц, год рождения);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2) обучающийся или не обучающийся в образовательном учреждении (для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обучающихся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указывается полное наименование и юридический адрес образовательного учреждения);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3) перечень осмотров врачами-специалистами, лабораторных, инструментальных и иных исследований исходя из </w:t>
      </w:r>
      <w:hyperlink r:id="rId24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раздела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4) планируемые дата и место проведения профилактического осмотра.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13.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 </w:t>
      </w:r>
      <w:hyperlink r:id="rId25" w:anchor="block_54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частью 2 статьи 54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закона, прибывает в медицинскую организацию в сопровождении родителя или иного законного представителя.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16. Профилактические осмотры проводятся медицинскими организациями в год достижения несовершеннолетними возраста указанного в </w:t>
      </w:r>
      <w:hyperlink r:id="rId26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разделе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17.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18.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27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19.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28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разделом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Перечня исследований, при отсутствии подозрений на наличие у несовершеннолетнего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недиагностированного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 </w:t>
      </w:r>
      <w:hyperlink r:id="rId29" w:anchor="block_1348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пунктом 8 части 4 статьи 13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закона) (I этап).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30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 </w:t>
      </w:r>
      <w:hyperlink r:id="rId31" w:anchor="block_1018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пунктом 18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и (или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данные анамнеза: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 </w:t>
      </w:r>
      <w:hyperlink r:id="rId3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Международной статистической классификации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2) данные, полученные при проведении профилактического осмотра: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объективные данные и результаты осмотров врачами-специалистами;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результаты лабораторных, инструментальных и иных исследований;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результаты дополнительных консультаций и исследований, не включенных в </w:t>
      </w:r>
      <w:hyperlink r:id="rId33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 и назначенных в ходе проведения профилактического осмотра;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диагноз заболевания (состояния), выявленного (установленного) при профилактическом осмотре, с указанием кода по </w:t>
      </w:r>
      <w:hyperlink r:id="rId34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МКБ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выявлено впервые или нет;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3) оценка физического развития;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4) группа состояния здоровья несовершеннолетнего;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5) рекомендации: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 </w:t>
      </w:r>
      <w:hyperlink r:id="rId35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МКБ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 </w:t>
      </w:r>
      <w:hyperlink r:id="rId36" w:anchor="block_12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приложением N 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к настоящему Порядку;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 </w:t>
      </w:r>
      <w:hyperlink r:id="rId37" w:anchor="block_13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приложением N 3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 </w:t>
      </w:r>
      <w:hyperlink r:id="rId38" w:anchor="block_14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приложением N 4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к настоящему Порядку (в отношении несовершеннолетних, занимающихся физической культурой).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23.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Медицинская организация, указанная в </w:t>
      </w:r>
      <w:hyperlink r:id="rId39" w:anchor="block_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 10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 </w:t>
      </w:r>
      <w:hyperlink r:id="rId40" w:anchor="block_20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форму N 030-ПО/у-12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 г. N 1346н (далее - карта осмотра), на каждого несовершеннолетнего, прошедшего профилактический осмотр в возрасте 1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года, 2 лет, 3 лет и в последующие возрастные периоды, предусмотренные </w:t>
      </w:r>
      <w:hyperlink r:id="rId41" w:anchor="block_1101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разделом 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которую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25. По итогам проведения профилактических медицинских осмотров медицинская организация заполняет отчетную </w:t>
      </w:r>
      <w:hyperlink r:id="rId42" w:anchor="block_300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форму N 030-ПО/о-12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 г. N 1346н (далее - отчет).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27. Орган исполнительной власти субъекта Российской Федерации в сфере охраны здоровья: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обеспечивает ведение мониторинга проведения профилактических осмотров в электронном виде;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2) обобщает и анализирует результаты профилактических осмотров в субъекте Российской Федерации;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III. Порядок проведения предварительных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28.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</w:t>
      </w: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</w:t>
      </w:r>
      <w:hyperlink r:id="rId43" w:anchor="block_333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*(3)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или "оториноларингологии (за исключением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кохлеарной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имплантации)", "акушерству и гинекологии"</w:t>
      </w:r>
      <w:hyperlink r:id="rId44" w:anchor="block_333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*(3</w:t>
        </w:r>
        <w:proofErr w:type="gramEnd"/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</w:t>
      </w:r>
      <w:hyperlink r:id="rId45" w:anchor="block_444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*(4)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"детской урологии-андрологии" или "урологии"</w:t>
      </w:r>
      <w:hyperlink r:id="rId46" w:anchor="block_444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*(4)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"детской эндокринологии" или "эндокринологии"</w:t>
      </w:r>
      <w:hyperlink r:id="rId47" w:anchor="block_444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*(4)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29.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 </w:t>
      </w:r>
      <w:hyperlink r:id="rId48" w:anchor="block_1028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 28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в медицинской организации, указанной в </w:t>
      </w:r>
      <w:hyperlink r:id="rId49" w:anchor="block_1028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 28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отсутствует: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уролог-андролог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то к проведению предварительного осмотра привлекается врач-уролог или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хирург,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2) врач-стоматолог детский, то к проведению предварительного осмотра привлекается врач-стоматолог,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врач-детский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эндокринолог, то к проведению предварительного осмотра привлекается врач-эндокринолог,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дополнительного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вид медицинского осмотра (предварительный);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2) фамилия, имя, отчество несовершеннолетнего, поступающего в образовательное учреждение;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3) дата рождения несовершеннолетнего, поступающего в образовательное учреждение;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4) адрес места жительства несовершеннолетнего, поступающего в образовательное учреждение;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8) контактная информация.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32.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 </w:t>
      </w:r>
      <w:hyperlink r:id="rId50" w:anchor="block_54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 xml:space="preserve">частью 2 статьи </w:t>
        </w:r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lastRenderedPageBreak/>
          <w:t>54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закона, прибывает в медицинскую организацию в сопровождении родителя или иного законного представителя.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34. Предварительные осмотры проводятся медицинскими организациями в соответствии с </w:t>
      </w:r>
      <w:hyperlink r:id="rId51" w:anchor="block_1102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разделом 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35.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36.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52" w:anchor="block_1102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 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37.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 </w:t>
      </w:r>
      <w:hyperlink r:id="rId53" w:anchor="block_1102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разделом 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Перечня исследований, при отсутствии подозрений на наличие у несовершеннолетнего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недиагностированного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 </w:t>
      </w:r>
      <w:hyperlink r:id="rId54" w:anchor="block_1348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пунктом 8 части 4 статьи 13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закона) (I этап).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 </w:t>
      </w:r>
      <w:hyperlink r:id="rId55" w:anchor="block_1102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 2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 </w:t>
      </w:r>
      <w:hyperlink r:id="rId56" w:anchor="block_1036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пунктом 36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и (или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39. Данные о прохождении предварительного осмотра, указанные в </w:t>
      </w:r>
      <w:hyperlink r:id="rId57" w:anchor="block_1021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пункте 21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настоящего Порядка, вносятся в медицинскую документацию несовершеннолетнего (историю развития ребенка).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1) группу состояния здоровья несовершеннолетнего;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высшего профессионального</w:t>
      </w:r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IV. Порядок проведения периодических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45.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установленного</w:t>
      </w:r>
      <w:hyperlink r:id="rId58" w:anchor="block_542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частью</w:t>
        </w:r>
        <w:proofErr w:type="spellEnd"/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 xml:space="preserve"> 2 статьи 54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49. Периодические осмотры проводятся в соответствии с </w:t>
      </w:r>
      <w:hyperlink r:id="rId59" w:anchor="block_11030" w:history="1">
        <w:r w:rsidRPr="003D782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разделом 3</w:t>
        </w:r>
      </w:hyperlink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Перечня исследований.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50. </w:t>
      </w:r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Перечень</w:t>
      </w:r>
      <w:r w:rsidRPr="003D782C">
        <w:rPr>
          <w:rFonts w:ascii="Arial" w:eastAsia="Times New Roman" w:hAnsi="Arial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исследований при проведении медицинских осмотров несовершеннолетних</w:t>
      </w:r>
    </w:p>
    <w:p w:rsidR="003D782C" w:rsidRPr="003D782C" w:rsidRDefault="003D782C" w:rsidP="003D7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Times New Roman" w:eastAsia="Times New Roman" w:hAnsi="Times New Roman" w:cs="Times New Roman"/>
          <w:color w:val="4C4A47"/>
          <w:sz w:val="20"/>
          <w:szCs w:val="20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Раздел 1. Перечень исследований при проведении профилактических медицинских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2289"/>
        <w:gridCol w:w="3198"/>
        <w:gridCol w:w="4016"/>
      </w:tblGrid>
      <w:tr w:rsidR="003D782C" w:rsidRPr="003D782C" w:rsidTr="003D782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/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Осмотры врачами - специалистами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Лабораторные, функциональные и иные исследования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Неонатальный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скрининг на врожденный гипотиреоз,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begin"/>
            </w: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instrText xml:space="preserve"> HYPERLINK "http://base.garant.ru/70355102/" \l "block_1111" </w:instrText>
            </w:r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separate"/>
            </w:r>
            <w:r w:rsidRPr="003D782C">
              <w:rPr>
                <w:rFonts w:ascii="Helvetica" w:eastAsia="Times New Roman" w:hAnsi="Helvetica" w:cs="Helvetica"/>
                <w:b/>
                <w:bCs/>
                <w:color w:val="26579A"/>
                <w:sz w:val="20"/>
                <w:lang w:eastAsia="ru-RU"/>
              </w:rPr>
              <w:t>*(1)</w:t>
            </w:r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end"/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скрининг</w:t>
            </w:r>
            <w:hyperlink r:id="rId60" w:anchor="block_2222" w:history="1">
              <w:r w:rsidRPr="003D782C">
                <w:rPr>
                  <w:rFonts w:ascii="Helvetica" w:eastAsia="Times New Roman" w:hAnsi="Helvetica" w:cs="Helvetica"/>
                  <w:b/>
                  <w:bCs/>
                  <w:color w:val="26579A"/>
                  <w:sz w:val="20"/>
                  <w:lang w:eastAsia="ru-RU"/>
                </w:rPr>
                <w:t>*(2)</w:t>
              </w:r>
            </w:hyperlink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Ультразвуковое исследование органов брюшной полости, сердца, тазобедренных суставов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скрининг</w:t>
            </w:r>
            <w:hyperlink r:id="rId61" w:anchor="block_2222" w:history="1">
              <w:r w:rsidRPr="003D782C">
                <w:rPr>
                  <w:rFonts w:ascii="Helvetica" w:eastAsia="Times New Roman" w:hAnsi="Helvetica" w:cs="Helvetica"/>
                  <w:b/>
                  <w:bCs/>
                  <w:color w:val="26579A"/>
                  <w:sz w:val="20"/>
                  <w:lang w:eastAsia="ru-RU"/>
                </w:rPr>
                <w:t>*(2)</w:t>
              </w:r>
            </w:hyperlink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скрининг</w:t>
            </w:r>
            <w:hyperlink r:id="rId62" w:anchor="block_2222" w:history="1">
              <w:r w:rsidRPr="003D782C">
                <w:rPr>
                  <w:rFonts w:ascii="Helvetica" w:eastAsia="Times New Roman" w:hAnsi="Helvetica" w:cs="Helvetica"/>
                  <w:b/>
                  <w:bCs/>
                  <w:color w:val="26579A"/>
                  <w:sz w:val="20"/>
                  <w:lang w:eastAsia="ru-RU"/>
                </w:rPr>
                <w:t>*(2)</w:t>
              </w:r>
            </w:hyperlink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 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 год 9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 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240" w:lineRule="auto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 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  <w:hyperlink r:id="rId63" w:anchor="block_3333" w:history="1">
              <w:r w:rsidRPr="003D782C">
                <w:rPr>
                  <w:rFonts w:ascii="Helvetica" w:eastAsia="Times New Roman" w:hAnsi="Helvetica" w:cs="Helvetica"/>
                  <w:b/>
                  <w:bCs/>
                  <w:color w:val="26579A"/>
                  <w:sz w:val="20"/>
                  <w:lang w:eastAsia="ru-RU"/>
                </w:rPr>
                <w:t>*(3)</w:t>
              </w:r>
            </w:hyperlink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begin"/>
            </w: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instrText xml:space="preserve"> HYPERLINK "http://base.garant.ru/70355102/" \l "block_3333" </w:instrText>
            </w:r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separate"/>
            </w:r>
            <w:r w:rsidRPr="003D782C">
              <w:rPr>
                <w:rFonts w:ascii="Helvetica" w:eastAsia="Times New Roman" w:hAnsi="Helvetica" w:cs="Helvetica"/>
                <w:b/>
                <w:bCs/>
                <w:color w:val="26579A"/>
                <w:sz w:val="20"/>
                <w:lang w:eastAsia="ru-RU"/>
              </w:rPr>
              <w:t>*(3)</w:t>
            </w:r>
            <w:r w:rsidR="00341DB4"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Ультразвуковое исследование органов брюшной полости, сердца, щитовидной железы и органов репродуктивной сферы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кала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Ультразвуковое исследование органов брюшной полости, сердца,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щитовидной железы и органов репродуктивной сферы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Исследования уровня гормонов в крови (пролактин, фолликулостимулирующий гормон,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лютеинизирующий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гормон,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эстрадиол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, прогестерон,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тиреотропный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гормон,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, тироксин, соматотропный гормон, кортизол, тестостерон)</w:t>
            </w:r>
            <w:hyperlink r:id="rId64" w:anchor="block_4444" w:history="1">
              <w:r w:rsidRPr="003D782C">
                <w:rPr>
                  <w:rFonts w:ascii="Helvetica" w:eastAsia="Times New Roman" w:hAnsi="Helvetica" w:cs="Helvetica"/>
                  <w:b/>
                  <w:bCs/>
                  <w:color w:val="26579A"/>
                  <w:sz w:val="20"/>
                  <w:lang w:eastAsia="ru-RU"/>
                </w:rPr>
                <w:t>*(4)</w:t>
              </w:r>
            </w:hyperlink>
            <w:proofErr w:type="gramEnd"/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Флюорография легких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Флюорография легких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Флюорография легких</w:t>
            </w:r>
          </w:p>
        </w:tc>
      </w:tr>
    </w:tbl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*(1)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Неонатальный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скрининг на врожденный гипотиреоз,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фенилкетонурию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адреногенитальный синдром,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муковисцидоз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галактоземию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*(2)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Аудиологический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*(3) Медицинский осмотр </w:t>
      </w:r>
      <w:proofErr w:type="spellStart"/>
      <w:proofErr w:type="gram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врача-детского</w:t>
      </w:r>
      <w:proofErr w:type="spellEnd"/>
      <w:proofErr w:type="gram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уролога-андролога</w:t>
      </w:r>
      <w:proofErr w:type="spellEnd"/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проходят мальчики, врача акушера-гинеколога - девочки.</w:t>
      </w:r>
    </w:p>
    <w:p w:rsidR="003D782C" w:rsidRPr="003D782C" w:rsidRDefault="003D782C" w:rsidP="003D782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*(4) Исследования уровня гормонов в крови проводятся при наличии медицинских показаний.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Раздел 2. Перечень исследований при проведении предварительных медицинских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3173"/>
        <w:gridCol w:w="3036"/>
        <w:gridCol w:w="3248"/>
      </w:tblGrid>
      <w:tr w:rsidR="003D782C" w:rsidRPr="003D782C" w:rsidTr="003D782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/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Перечень типов образовательных учреждений, при поступлении в которые проводятся предварительные медицинские осмотры несовершеннолетних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Осмотры врачами - специалистами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Лабораторные, функциональные и иные исследования</w:t>
            </w:r>
          </w:p>
        </w:tc>
      </w:tr>
      <w:tr w:rsidR="003D782C" w:rsidRPr="003D782C" w:rsidTr="003D782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Анализ кала на яйца глистов</w:t>
            </w:r>
          </w:p>
        </w:tc>
      </w:tr>
      <w:tr w:rsidR="003D782C" w:rsidRPr="003D782C" w:rsidTr="003D782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детский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Анализ кала на яйца глистов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Ультразвуковое исследование органов </w:t>
            </w: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брюшной</w:t>
            </w:r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полости, сердца, щитовидной железы и органов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репродуктивной сферы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</w:tc>
      </w:tr>
      <w:tr w:rsidR="003D782C" w:rsidRPr="003D782C" w:rsidTr="003D782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Образовательные учреждения начального профессионального, среднего профессионального, </w:t>
            </w: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высшего профессионального</w:t>
            </w:r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образования Специальные (коррекционные) 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</w:t>
            </w: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оставшихся без попечения родителей (законных представителей)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lastRenderedPageBreak/>
              <w:t>Педиатр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хирург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стоматолог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уролог-андролог</w:t>
            </w:r>
            <w:proofErr w:type="spellEnd"/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Детский эндокринолог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Невролог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Травматолог-ортопед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Офтальмолог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Акушер-гинеколог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Ультразвуковое исследование органов </w:t>
            </w: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брюшной</w:t>
            </w:r>
            <w:proofErr w:type="gramEnd"/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полости, сердца, щитовидной железы и органов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репродуктивной сферы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Электрокардиография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Флюорография легких (с возраста 15 лет)</w:t>
            </w:r>
          </w:p>
        </w:tc>
      </w:tr>
    </w:tbl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Раздел 3. Перечень исследований при проведении периодических медицинских осмотров</w:t>
      </w:r>
    </w:p>
    <w:p w:rsidR="003D782C" w:rsidRPr="003D782C" w:rsidRDefault="003D782C" w:rsidP="003D78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D782C" w:rsidRPr="003D782C" w:rsidRDefault="003D782C" w:rsidP="003D782C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  <w:r w:rsidRPr="003D782C"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4057"/>
        <w:gridCol w:w="1470"/>
        <w:gridCol w:w="3937"/>
      </w:tblGrid>
      <w:tr w:rsidR="003D782C" w:rsidRPr="003D782C" w:rsidTr="003D782C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/</w:t>
            </w:r>
            <w:proofErr w:type="spell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Перечень типов образовательных учреждений, при обучении в которых проводятся периодические медицинские осмотры несовершеннолетних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Осмотры врачами </w:t>
            </w: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-с</w:t>
            </w:r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пециалистами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Лабораторные, функциональные и иные исследования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Общеобразовательные (начального общего, основного общего, среднего (полного) общего образования) образовательные учреждения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Анализ окиси углерода выдыхаемого воздуха с определением карбоксигемоглобина</w:t>
            </w:r>
          </w:p>
        </w:tc>
      </w:tr>
      <w:tr w:rsidR="003D782C" w:rsidRPr="003D782C" w:rsidTr="003D782C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Образовательные учреждения начального профессионального, среднего профессионального, </w:t>
            </w:r>
            <w:proofErr w:type="gramStart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высшего профессионального</w:t>
            </w:r>
            <w:proofErr w:type="gramEnd"/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 xml:space="preserve"> образования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Образовательные учреждения для детей-сирот и детей, оставшихся без попечения родителей (законных представителей)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крови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Общий анализ мочи</w:t>
            </w:r>
          </w:p>
          <w:p w:rsidR="003D782C" w:rsidRPr="003D782C" w:rsidRDefault="003D782C" w:rsidP="003D782C">
            <w:pPr>
              <w:spacing w:after="0" w:line="312" w:lineRule="atLeast"/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</w:pPr>
            <w:r w:rsidRPr="003D782C">
              <w:rPr>
                <w:rFonts w:ascii="Helvetica" w:eastAsia="Times New Roman" w:hAnsi="Helvetica" w:cs="Helvetica"/>
                <w:color w:val="4C4A47"/>
                <w:sz w:val="20"/>
                <w:szCs w:val="20"/>
                <w:lang w:eastAsia="ru-RU"/>
              </w:rPr>
              <w:t>Анализ окиси углерода выдыхаемого воздуха с определением карбоксигемоглобина</w:t>
            </w:r>
          </w:p>
        </w:tc>
      </w:tr>
    </w:tbl>
    <w:p w:rsidR="003D782C" w:rsidRPr="003D782C" w:rsidRDefault="003D782C" w:rsidP="003D782C">
      <w:pPr>
        <w:shd w:val="clear" w:color="auto" w:fill="FFFFFF"/>
        <w:spacing w:after="0" w:line="710" w:lineRule="atLeast"/>
        <w:ind w:left="10"/>
        <w:jc w:val="both"/>
        <w:rPr>
          <w:rFonts w:ascii="Helvetica" w:eastAsia="Times New Roman" w:hAnsi="Helvetica" w:cs="Helvetica"/>
          <w:color w:val="4C4A47"/>
          <w:sz w:val="20"/>
          <w:szCs w:val="20"/>
          <w:lang w:eastAsia="ru-RU"/>
        </w:rPr>
      </w:pPr>
    </w:p>
    <w:sectPr w:rsidR="003D782C" w:rsidRPr="003D782C" w:rsidSect="004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2C"/>
    <w:rsid w:val="00341DB4"/>
    <w:rsid w:val="003D782C"/>
    <w:rsid w:val="00434BE7"/>
    <w:rsid w:val="00D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7"/>
  </w:style>
  <w:style w:type="paragraph" w:styleId="1">
    <w:name w:val="heading 1"/>
    <w:basedOn w:val="a"/>
    <w:link w:val="10"/>
    <w:uiPriority w:val="9"/>
    <w:qFormat/>
    <w:rsid w:val="003D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78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782C"/>
    <w:rPr>
      <w:color w:val="800080"/>
      <w:u w:val="single"/>
    </w:rPr>
  </w:style>
  <w:style w:type="character" w:styleId="a5">
    <w:name w:val="Strong"/>
    <w:basedOn w:val="a0"/>
    <w:uiPriority w:val="22"/>
    <w:qFormat/>
    <w:rsid w:val="003D782C"/>
    <w:rPr>
      <w:b/>
      <w:bCs/>
    </w:rPr>
  </w:style>
  <w:style w:type="paragraph" w:customStyle="1" w:styleId="s3">
    <w:name w:val="s3"/>
    <w:basedOn w:val="a"/>
    <w:rsid w:val="003D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3D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3D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4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55102/" TargetMode="External"/><Relationship Id="rId18" Type="http://schemas.openxmlformats.org/officeDocument/2006/relationships/hyperlink" Target="http://base.garant.ru/70355102/" TargetMode="External"/><Relationship Id="rId26" Type="http://schemas.openxmlformats.org/officeDocument/2006/relationships/hyperlink" Target="http://base.garant.ru/70355102/" TargetMode="External"/><Relationship Id="rId39" Type="http://schemas.openxmlformats.org/officeDocument/2006/relationships/hyperlink" Target="http://base.garant.ru/70355102/" TargetMode="External"/><Relationship Id="rId21" Type="http://schemas.openxmlformats.org/officeDocument/2006/relationships/hyperlink" Target="http://base.garant.ru/70355102/" TargetMode="External"/><Relationship Id="rId34" Type="http://schemas.openxmlformats.org/officeDocument/2006/relationships/hyperlink" Target="http://base.garant.ru/4100000/" TargetMode="External"/><Relationship Id="rId42" Type="http://schemas.openxmlformats.org/officeDocument/2006/relationships/hyperlink" Target="http://base.garant.ru/70355102/" TargetMode="External"/><Relationship Id="rId47" Type="http://schemas.openxmlformats.org/officeDocument/2006/relationships/hyperlink" Target="http://base.garant.ru/70355102/" TargetMode="External"/><Relationship Id="rId50" Type="http://schemas.openxmlformats.org/officeDocument/2006/relationships/hyperlink" Target="http://base.garant.ru/12191967/6/" TargetMode="External"/><Relationship Id="rId55" Type="http://schemas.openxmlformats.org/officeDocument/2006/relationships/hyperlink" Target="http://base.garant.ru/70355102/" TargetMode="External"/><Relationship Id="rId63" Type="http://schemas.openxmlformats.org/officeDocument/2006/relationships/hyperlink" Target="http://base.garant.ru/70355102/" TargetMode="External"/><Relationship Id="rId7" Type="http://schemas.openxmlformats.org/officeDocument/2006/relationships/hyperlink" Target="http://base.garant.ru/703551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07984/" TargetMode="External"/><Relationship Id="rId20" Type="http://schemas.openxmlformats.org/officeDocument/2006/relationships/hyperlink" Target="http://base.garant.ru/70355102/" TargetMode="External"/><Relationship Id="rId29" Type="http://schemas.openxmlformats.org/officeDocument/2006/relationships/hyperlink" Target="http://base.garant.ru/12191967/2/" TargetMode="External"/><Relationship Id="rId41" Type="http://schemas.openxmlformats.org/officeDocument/2006/relationships/hyperlink" Target="http://base.garant.ru/70355102/" TargetMode="External"/><Relationship Id="rId54" Type="http://schemas.openxmlformats.org/officeDocument/2006/relationships/hyperlink" Target="http://base.garant.ru/12191967/2/" TargetMode="External"/><Relationship Id="rId62" Type="http://schemas.openxmlformats.org/officeDocument/2006/relationships/hyperlink" Target="http://base.garant.ru/7035510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12/" TargetMode="External"/><Relationship Id="rId11" Type="http://schemas.openxmlformats.org/officeDocument/2006/relationships/hyperlink" Target="http://base.garant.ru/70355102/" TargetMode="External"/><Relationship Id="rId24" Type="http://schemas.openxmlformats.org/officeDocument/2006/relationships/hyperlink" Target="http://base.garant.ru/70355102/" TargetMode="External"/><Relationship Id="rId32" Type="http://schemas.openxmlformats.org/officeDocument/2006/relationships/hyperlink" Target="http://base.garant.ru/4100000/" TargetMode="External"/><Relationship Id="rId37" Type="http://schemas.openxmlformats.org/officeDocument/2006/relationships/hyperlink" Target="http://base.garant.ru/70355102/" TargetMode="External"/><Relationship Id="rId40" Type="http://schemas.openxmlformats.org/officeDocument/2006/relationships/hyperlink" Target="http://base.garant.ru/70355102/" TargetMode="External"/><Relationship Id="rId45" Type="http://schemas.openxmlformats.org/officeDocument/2006/relationships/hyperlink" Target="http://base.garant.ru/70355102/" TargetMode="External"/><Relationship Id="rId53" Type="http://schemas.openxmlformats.org/officeDocument/2006/relationships/hyperlink" Target="http://base.garant.ru/70355102/" TargetMode="External"/><Relationship Id="rId58" Type="http://schemas.openxmlformats.org/officeDocument/2006/relationships/hyperlink" Target="http://base.garant.ru/12191967/6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base.garant.ru/12191967/6/" TargetMode="External"/><Relationship Id="rId15" Type="http://schemas.openxmlformats.org/officeDocument/2006/relationships/hyperlink" Target="http://base.garant.ru/70207984/" TargetMode="External"/><Relationship Id="rId23" Type="http://schemas.openxmlformats.org/officeDocument/2006/relationships/hyperlink" Target="http://base.garant.ru/70355102/" TargetMode="External"/><Relationship Id="rId28" Type="http://schemas.openxmlformats.org/officeDocument/2006/relationships/hyperlink" Target="http://base.garant.ru/70355102/" TargetMode="External"/><Relationship Id="rId36" Type="http://schemas.openxmlformats.org/officeDocument/2006/relationships/hyperlink" Target="http://base.garant.ru/70355102/" TargetMode="External"/><Relationship Id="rId49" Type="http://schemas.openxmlformats.org/officeDocument/2006/relationships/hyperlink" Target="http://base.garant.ru/70355102/" TargetMode="External"/><Relationship Id="rId57" Type="http://schemas.openxmlformats.org/officeDocument/2006/relationships/hyperlink" Target="http://base.garant.ru/70355102/" TargetMode="External"/><Relationship Id="rId61" Type="http://schemas.openxmlformats.org/officeDocument/2006/relationships/hyperlink" Target="http://base.garant.ru/70355102/" TargetMode="External"/><Relationship Id="rId10" Type="http://schemas.openxmlformats.org/officeDocument/2006/relationships/hyperlink" Target="http://base.garant.ru/70355102/" TargetMode="External"/><Relationship Id="rId19" Type="http://schemas.openxmlformats.org/officeDocument/2006/relationships/hyperlink" Target="http://base.garant.ru/70355102/" TargetMode="External"/><Relationship Id="rId31" Type="http://schemas.openxmlformats.org/officeDocument/2006/relationships/hyperlink" Target="http://base.garant.ru/70355102/" TargetMode="External"/><Relationship Id="rId44" Type="http://schemas.openxmlformats.org/officeDocument/2006/relationships/hyperlink" Target="http://base.garant.ru/70355102/" TargetMode="External"/><Relationship Id="rId52" Type="http://schemas.openxmlformats.org/officeDocument/2006/relationships/hyperlink" Target="http://base.garant.ru/70355102/" TargetMode="External"/><Relationship Id="rId60" Type="http://schemas.openxmlformats.org/officeDocument/2006/relationships/hyperlink" Target="http://base.garant.ru/70355102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base.garant.ru/12191967/3/" TargetMode="External"/><Relationship Id="rId9" Type="http://schemas.openxmlformats.org/officeDocument/2006/relationships/hyperlink" Target="http://base.garant.ru/70355102/" TargetMode="External"/><Relationship Id="rId14" Type="http://schemas.openxmlformats.org/officeDocument/2006/relationships/hyperlink" Target="http://base.garant.ru/12191967/6/" TargetMode="External"/><Relationship Id="rId22" Type="http://schemas.openxmlformats.org/officeDocument/2006/relationships/hyperlink" Target="http://base.garant.ru/70355102/" TargetMode="External"/><Relationship Id="rId27" Type="http://schemas.openxmlformats.org/officeDocument/2006/relationships/hyperlink" Target="http://base.garant.ru/70355102/" TargetMode="External"/><Relationship Id="rId30" Type="http://schemas.openxmlformats.org/officeDocument/2006/relationships/hyperlink" Target="http://base.garant.ru/70355102/" TargetMode="External"/><Relationship Id="rId35" Type="http://schemas.openxmlformats.org/officeDocument/2006/relationships/hyperlink" Target="http://base.garant.ru/4100000/" TargetMode="External"/><Relationship Id="rId43" Type="http://schemas.openxmlformats.org/officeDocument/2006/relationships/hyperlink" Target="http://base.garant.ru/70355102/" TargetMode="External"/><Relationship Id="rId48" Type="http://schemas.openxmlformats.org/officeDocument/2006/relationships/hyperlink" Target="http://base.garant.ru/70355102/" TargetMode="External"/><Relationship Id="rId56" Type="http://schemas.openxmlformats.org/officeDocument/2006/relationships/hyperlink" Target="http://base.garant.ru/70355102/" TargetMode="External"/><Relationship Id="rId64" Type="http://schemas.openxmlformats.org/officeDocument/2006/relationships/hyperlink" Target="http://base.garant.ru/70355102/" TargetMode="External"/><Relationship Id="rId8" Type="http://schemas.openxmlformats.org/officeDocument/2006/relationships/hyperlink" Target="http://base.garant.ru/70355102/" TargetMode="External"/><Relationship Id="rId51" Type="http://schemas.openxmlformats.org/officeDocument/2006/relationships/hyperlink" Target="http://base.garant.ru/7035510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355102/" TargetMode="External"/><Relationship Id="rId25" Type="http://schemas.openxmlformats.org/officeDocument/2006/relationships/hyperlink" Target="http://base.garant.ru/12191967/6/" TargetMode="External"/><Relationship Id="rId33" Type="http://schemas.openxmlformats.org/officeDocument/2006/relationships/hyperlink" Target="http://base.garant.ru/70355102/" TargetMode="External"/><Relationship Id="rId38" Type="http://schemas.openxmlformats.org/officeDocument/2006/relationships/hyperlink" Target="http://base.garant.ru/70355102/" TargetMode="External"/><Relationship Id="rId46" Type="http://schemas.openxmlformats.org/officeDocument/2006/relationships/hyperlink" Target="http://base.garant.ru/70355102/" TargetMode="External"/><Relationship Id="rId59" Type="http://schemas.openxmlformats.org/officeDocument/2006/relationships/hyperlink" Target="http://base.garant.ru/70355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6961</Words>
  <Characters>39678</Characters>
  <Application>Microsoft Office Word</Application>
  <DocSecurity>0</DocSecurity>
  <Lines>330</Lines>
  <Paragraphs>93</Paragraphs>
  <ScaleCrop>false</ScaleCrop>
  <Company>Reanimator Extreme Edition</Company>
  <LinksUpToDate>false</LinksUpToDate>
  <CharactersWithSpaces>46546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Call2</cp:lastModifiedBy>
  <cp:revision>2</cp:revision>
  <dcterms:created xsi:type="dcterms:W3CDTF">2018-01-23T12:10:00Z</dcterms:created>
  <dcterms:modified xsi:type="dcterms:W3CDTF">2018-02-08T10:14:00Z</dcterms:modified>
</cp:coreProperties>
</file>